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D803B2">
      <w:pPr>
        <w:rPr>
          <w:rFonts w:hint="eastAsia" w:ascii="黑体" w:hAnsi="黑体" w:eastAsia="黑体" w:cs="Times New Roman"/>
          <w:b/>
          <w:kern w:val="2"/>
          <w:sz w:val="48"/>
          <w:szCs w:val="48"/>
          <w:lang w:val="en-US" w:eastAsia="zh-CN" w:bidi="ar-SA"/>
        </w:rPr>
      </w:pPr>
      <w:bookmarkStart w:id="0" w:name="_GoBack"/>
      <w:bookmarkEnd w:id="0"/>
      <w:r>
        <w:rPr>
          <w:rFonts w:hint="eastAsia" w:ascii="黑体" w:hAnsi="黑体" w:eastAsia="黑体" w:cs="Times New Roman"/>
          <w:b/>
          <w:kern w:val="2"/>
          <w:sz w:val="48"/>
          <w:szCs w:val="48"/>
          <w:lang w:val="en-US" w:eastAsia="zh-CN" w:bidi="ar-SA"/>
        </w:rPr>
        <w:t xml:space="preserve">静思妙莲华-18-如是我闻 </w:t>
      </w:r>
    </w:p>
    <w:p w14:paraId="6B722904">
      <w:pPr>
        <w:rPr>
          <w:rFonts w:hint="eastAsia" w:eastAsia="宋体"/>
          <w:lang w:val="en-US" w:eastAsia="zh-CN"/>
        </w:rPr>
      </w:pPr>
    </w:p>
    <w:p w14:paraId="3524F3AE">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w:t>
      </w:r>
      <w:r>
        <w:rPr>
          <w:rFonts w:hint="eastAsia" w:ascii="方正仿宋_GB2312" w:hAnsi="方正仿宋_GB2312" w:eastAsia="方正仿宋_GB2312" w:cs="方正仿宋_GB2312"/>
          <w:b/>
          <w:bCs/>
          <w:color w:val="auto"/>
          <w:sz w:val="28"/>
          <w:szCs w:val="28"/>
          <w:lang w:val="en-US" w:eastAsia="zh-CN"/>
        </w:rPr>
        <w:t>这也应该是迦叶尊者他的悲智，他很慈悲，他的智慧，希望佛陀的教法能够传承在未来，所以他发挥了他的智慧，用这样的动作要来鞭策阿难。这也就是尊者的智慧，所以成就妙法传世，与后来的“如是我闻”。</w:t>
      </w:r>
      <w:r>
        <w:rPr>
          <w:rFonts w:hint="eastAsia" w:ascii="方正仿宋_GB2312" w:hAnsi="方正仿宋_GB2312" w:eastAsia="方正仿宋_GB2312" w:cs="方正仿宋_GB2312"/>
          <w:b w:val="0"/>
          <w:bCs w:val="0"/>
          <w:color w:val="auto"/>
          <w:sz w:val="28"/>
          <w:szCs w:val="28"/>
          <w:lang w:val="en-US" w:eastAsia="zh-CN"/>
        </w:rPr>
        <w:t>】</w:t>
      </w:r>
    </w:p>
    <w:p w14:paraId="2704798B">
      <w:pPr>
        <w:rPr>
          <w:rFonts w:hint="eastAsia" w:ascii="方正仿宋_GB2312" w:hAnsi="方正仿宋_GB2312" w:eastAsia="方正仿宋_GB2312" w:cs="方正仿宋_GB2312"/>
          <w:b w:val="0"/>
          <w:bCs w:val="0"/>
          <w:color w:val="auto"/>
          <w:sz w:val="28"/>
          <w:szCs w:val="28"/>
          <w:lang w:val="en-US" w:eastAsia="zh-CN"/>
        </w:rPr>
      </w:pPr>
    </w:p>
    <w:p w14:paraId="7D2A8198">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褆解：</w:t>
      </w:r>
    </w:p>
    <w:p w14:paraId="589C2D78">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让我们来更多认识迦叶尊者。</w:t>
      </w:r>
    </w:p>
    <w:p w14:paraId="14E54914">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《中阿含经》与相应巴利《相应部》其中有著名的“大迦叶经”（Mahākassapa Sutta），记载佛陀当面赞叹迦叶的苦行。</w:t>
      </w:r>
    </w:p>
    <w:p w14:paraId="4FB03DAB">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佛陀对迦叶说：</w:t>
      </w:r>
    </w:p>
    <w:p w14:paraId="53094B22">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“迦叶！汝能行头陀行，少欲知足，乐于独处，精进不懈。”</w:t>
      </w:r>
    </w:p>
    <w:p w14:paraId="0DAC907A">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“汝所行者，为多众生利益，为世间作光。”</w:t>
      </w:r>
    </w:p>
    <w:p w14:paraId="5D81EA6B">
      <w:pPr>
        <w:rPr>
          <w:rFonts w:hint="eastAsia" w:ascii="方正仿宋_GB2312" w:hAnsi="方正仿宋_GB2312" w:eastAsia="方正仿宋_GB2312" w:cs="方正仿宋_GB2312"/>
          <w:b w:val="0"/>
          <w:bCs w:val="0"/>
          <w:color w:val="auto"/>
          <w:sz w:val="28"/>
          <w:szCs w:val="28"/>
          <w:lang w:val="en-US" w:eastAsia="zh-CN"/>
        </w:rPr>
      </w:pPr>
    </w:p>
    <w:p w14:paraId="3A6CFF5A">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头陀行是什么？</w:t>
      </w:r>
    </w:p>
    <w:p w14:paraId="74313DE5">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不是自虐，而是“简朴极致修行”</w:t>
      </w:r>
    </w:p>
    <w:p w14:paraId="321827C3">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常见内容包括：</w:t>
      </w:r>
    </w:p>
    <w:p w14:paraId="022E8D6E">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穿粪扫衣（捡破布做衣）</w:t>
      </w:r>
    </w:p>
    <w:p w14:paraId="1BE15AD5">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常在树下住</w:t>
      </w:r>
    </w:p>
    <w:p w14:paraId="26BE8D7D">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不住屋舍</w:t>
      </w:r>
    </w:p>
    <w:p w14:paraId="7FDACFDD">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一日一食</w:t>
      </w:r>
    </w:p>
    <w:p w14:paraId="6B3BD320">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不贪美食</w:t>
      </w:r>
    </w:p>
    <w:p w14:paraId="4D51EB1F">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常行乞食</w:t>
      </w:r>
    </w:p>
    <w:p w14:paraId="6E9E0DA3">
      <w:pPr>
        <w:rPr>
          <w:rFonts w:hint="eastAsia" w:ascii="方正仿宋_GB2312" w:hAnsi="方正仿宋_GB2312" w:eastAsia="方正仿宋_GB2312" w:cs="方正仿宋_GB2312"/>
          <w:b w:val="0"/>
          <w:bCs w:val="0"/>
          <w:color w:val="auto"/>
          <w:sz w:val="28"/>
          <w:szCs w:val="28"/>
          <w:lang w:val="en-US" w:eastAsia="zh-CN"/>
        </w:rPr>
      </w:pPr>
    </w:p>
    <w:p w14:paraId="30EF60FC">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尊者已证道而不舍苦行</w:t>
      </w:r>
    </w:p>
    <w:p w14:paraId="25B3A46C">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关键点在这里：迦叶不是为了“得道”才苦行，而是“已得道仍保持简朴”。</w:t>
      </w:r>
    </w:p>
    <w:p w14:paraId="6280C663">
      <w:pPr>
        <w:rPr>
          <w:rFonts w:hint="eastAsia" w:ascii="方正仿宋_GB2312" w:hAnsi="方正仿宋_GB2312" w:eastAsia="方正仿宋_GB2312" w:cs="方正仿宋_GB2312"/>
          <w:b w:val="0"/>
          <w:bCs w:val="0"/>
          <w:color w:val="auto"/>
          <w:sz w:val="28"/>
          <w:szCs w:val="28"/>
          <w:lang w:val="en-US" w:eastAsia="zh-CN"/>
        </w:rPr>
      </w:pPr>
    </w:p>
    <w:p w14:paraId="06255DB5">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《杂阿含经》记载：</w:t>
      </w:r>
    </w:p>
    <w:p w14:paraId="7EAE7A6D">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尔时，迦叶尊者着粪扫衣，形容憔悴，来诣佛所。</w:t>
      </w:r>
    </w:p>
    <w:p w14:paraId="3BFE0315">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时诸比丘见已，不识其人，作是念言：“此何等沙门？”</w:t>
      </w:r>
    </w:p>
    <w:p w14:paraId="641225E9">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世尊知诸比丘心中所念，告诸比丘：“汝等莫作是念，此是大迦叶比丘。”</w:t>
      </w:r>
    </w:p>
    <w:p w14:paraId="79EBEB57">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即告迦叶：“来，迦叶！就此半座。”</w:t>
      </w:r>
    </w:p>
    <w:p w14:paraId="7EA913C8">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迦叶白佛言：“世尊是我大师，我是弟子，不敢与佛共坐。”</w:t>
      </w:r>
    </w:p>
    <w:p w14:paraId="791A8F40">
      <w:pPr>
        <w:rPr>
          <w:rFonts w:hint="eastAsia" w:ascii="方正仿宋_GB2312" w:hAnsi="方正仿宋_GB2312" w:eastAsia="方正仿宋_GB2312" w:cs="方正仿宋_GB2312"/>
          <w:b w:val="0"/>
          <w:bCs w:val="0"/>
          <w:color w:val="auto"/>
          <w:sz w:val="28"/>
          <w:szCs w:val="28"/>
          <w:lang w:val="en-US" w:eastAsia="zh-CN"/>
        </w:rPr>
      </w:pPr>
    </w:p>
    <w:p w14:paraId="4CDE97D3">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迦叶尊者修头陀行不住在僧团中，因此很多僧人不认识他。</w:t>
      </w:r>
    </w:p>
    <w:p w14:paraId="01EF61D9">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从情节本身就已经表达</w:t>
      </w:r>
      <w:r>
        <w:rPr>
          <w:rFonts w:hint="eastAsia" w:ascii="方正仿宋_GB2312" w:hAnsi="方正仿宋_GB2312" w:eastAsia="方正仿宋_GB2312" w:cs="方正仿宋_GB2312"/>
          <w:b w:val="0"/>
          <w:bCs w:val="0"/>
          <w:color w:val="auto"/>
          <w:sz w:val="28"/>
          <w:szCs w:val="28"/>
          <w:lang w:val="en-US" w:eastAsia="zh-CN"/>
        </w:rPr>
        <w:t>迦叶尊者：</w:t>
      </w:r>
    </w:p>
    <w:p w14:paraId="780BF1B8">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外表极简</w:t>
      </w:r>
      <w:r>
        <w:rPr>
          <w:rFonts w:hint="eastAsia" w:ascii="方正仿宋_GB2312" w:hAnsi="方正仿宋_GB2312" w:eastAsia="方正仿宋_GB2312" w:cs="方正仿宋_GB2312"/>
          <w:b w:val="0"/>
          <w:bCs w:val="0"/>
          <w:color w:val="auto"/>
          <w:sz w:val="28"/>
          <w:szCs w:val="28"/>
          <w:lang w:val="en-US" w:eastAsia="zh-CN"/>
        </w:rPr>
        <w:t>，</w:t>
      </w:r>
      <w:r>
        <w:rPr>
          <w:rFonts w:hint="default" w:ascii="方正仿宋_GB2312" w:hAnsi="方正仿宋_GB2312" w:eastAsia="方正仿宋_GB2312" w:cs="方正仿宋_GB2312"/>
          <w:b w:val="0"/>
          <w:bCs w:val="0"/>
          <w:color w:val="auto"/>
          <w:sz w:val="28"/>
          <w:szCs w:val="28"/>
          <w:lang w:val="en-US" w:eastAsia="zh-CN"/>
        </w:rPr>
        <w:t>内德极高</w:t>
      </w:r>
      <w:r>
        <w:rPr>
          <w:rFonts w:hint="eastAsia" w:ascii="方正仿宋_GB2312" w:hAnsi="方正仿宋_GB2312" w:eastAsia="方正仿宋_GB2312" w:cs="方正仿宋_GB2312"/>
          <w:b w:val="0"/>
          <w:bCs w:val="0"/>
          <w:color w:val="auto"/>
          <w:sz w:val="28"/>
          <w:szCs w:val="28"/>
          <w:lang w:val="en-US" w:eastAsia="zh-CN"/>
        </w:rPr>
        <w:t>，</w:t>
      </w:r>
      <w:r>
        <w:rPr>
          <w:rFonts w:hint="default" w:ascii="方正仿宋_GB2312" w:hAnsi="方正仿宋_GB2312" w:eastAsia="方正仿宋_GB2312" w:cs="方正仿宋_GB2312"/>
          <w:b w:val="0"/>
          <w:bCs w:val="0"/>
          <w:color w:val="auto"/>
          <w:sz w:val="28"/>
          <w:szCs w:val="28"/>
          <w:lang w:val="en-US" w:eastAsia="zh-CN"/>
        </w:rPr>
        <w:t>非凡而不显</w:t>
      </w:r>
    </w:p>
    <w:p w14:paraId="315B01EC">
      <w:pPr>
        <w:rPr>
          <w:rFonts w:hint="default" w:ascii="方正仿宋_GB2312" w:hAnsi="方正仿宋_GB2312" w:eastAsia="方正仿宋_GB2312" w:cs="方正仿宋_GB2312"/>
          <w:b w:val="0"/>
          <w:bCs w:val="0"/>
          <w:color w:val="auto"/>
          <w:sz w:val="28"/>
          <w:szCs w:val="28"/>
          <w:lang w:val="en-US" w:eastAsia="zh-CN"/>
        </w:rPr>
      </w:pPr>
    </w:p>
    <w:p w14:paraId="3647F524">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佛陀不可能与弟子同坐，却要让出半座给尊者同坐，这是多大的尊崇呀！</w:t>
      </w:r>
    </w:p>
    <w:p w14:paraId="58F752C4">
      <w:pPr>
        <w:rPr>
          <w:rFonts w:hint="eastAsia" w:ascii="方正仿宋_GB2312" w:hAnsi="方正仿宋_GB2312" w:eastAsia="方正仿宋_GB2312" w:cs="方正仿宋_GB2312"/>
          <w:b w:val="0"/>
          <w:bCs w:val="0"/>
          <w:color w:val="auto"/>
          <w:sz w:val="28"/>
          <w:szCs w:val="28"/>
          <w:lang w:val="en-US" w:eastAsia="zh-CN"/>
        </w:rPr>
      </w:pPr>
    </w:p>
    <w:p w14:paraId="6006B209">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《五灯会元》记载：</w:t>
      </w:r>
    </w:p>
    <w:p w14:paraId="5531001D">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世尊在灵山会上，拈花示众。</w:t>
      </w:r>
      <w:r>
        <w:rPr>
          <w:rFonts w:hint="eastAsia" w:ascii="方正仿宋_GB2312" w:hAnsi="方正仿宋_GB2312" w:eastAsia="方正仿宋_GB2312" w:cs="方正仿宋_GB2312"/>
          <w:b w:val="0"/>
          <w:bCs w:val="0"/>
          <w:color w:val="auto"/>
          <w:sz w:val="28"/>
          <w:szCs w:val="28"/>
          <w:lang w:val="en-US" w:eastAsia="zh-CN"/>
        </w:rPr>
        <w:br w:type="textWrapping"/>
      </w:r>
      <w:r>
        <w:rPr>
          <w:rFonts w:hint="eastAsia" w:ascii="方正仿宋_GB2312" w:hAnsi="方正仿宋_GB2312" w:eastAsia="方正仿宋_GB2312" w:cs="方正仿宋_GB2312"/>
          <w:b w:val="0"/>
          <w:bCs w:val="0"/>
          <w:color w:val="auto"/>
          <w:sz w:val="28"/>
          <w:szCs w:val="28"/>
          <w:lang w:val="en-US" w:eastAsia="zh-CN"/>
        </w:rPr>
        <w:t>众皆默然。</w:t>
      </w:r>
      <w:r>
        <w:rPr>
          <w:rFonts w:hint="eastAsia" w:ascii="方正仿宋_GB2312" w:hAnsi="方正仿宋_GB2312" w:eastAsia="方正仿宋_GB2312" w:cs="方正仿宋_GB2312"/>
          <w:b w:val="0"/>
          <w:bCs w:val="0"/>
          <w:color w:val="auto"/>
          <w:sz w:val="28"/>
          <w:szCs w:val="28"/>
          <w:lang w:val="en-US" w:eastAsia="zh-CN"/>
        </w:rPr>
        <w:br w:type="textWrapping"/>
      </w:r>
      <w:r>
        <w:rPr>
          <w:rFonts w:hint="eastAsia" w:ascii="方正仿宋_GB2312" w:hAnsi="方正仿宋_GB2312" w:eastAsia="方正仿宋_GB2312" w:cs="方正仿宋_GB2312"/>
          <w:b w:val="0"/>
          <w:bCs w:val="0"/>
          <w:color w:val="auto"/>
          <w:sz w:val="28"/>
          <w:szCs w:val="28"/>
          <w:lang w:val="en-US" w:eastAsia="zh-CN"/>
        </w:rPr>
        <w:t>惟迦叶尊者破颜微笑。</w:t>
      </w:r>
    </w:p>
    <w:p w14:paraId="5BE06C2E">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世尊曰：“吾有正法眼藏，涅槃妙心，实相无相，微妙法门，</w:t>
      </w:r>
      <w:r>
        <w:rPr>
          <w:rFonts w:hint="eastAsia" w:ascii="方正仿宋_GB2312" w:hAnsi="方正仿宋_GB2312" w:eastAsia="方正仿宋_GB2312" w:cs="方正仿宋_GB2312"/>
          <w:b w:val="0"/>
          <w:bCs w:val="0"/>
          <w:color w:val="auto"/>
          <w:sz w:val="28"/>
          <w:szCs w:val="28"/>
          <w:lang w:val="en-US" w:eastAsia="zh-CN"/>
        </w:rPr>
        <w:br w:type="textWrapping"/>
      </w:r>
      <w:r>
        <w:rPr>
          <w:rFonts w:hint="eastAsia" w:ascii="方正仿宋_GB2312" w:hAnsi="方正仿宋_GB2312" w:eastAsia="方正仿宋_GB2312" w:cs="方正仿宋_GB2312"/>
          <w:b w:val="0"/>
          <w:bCs w:val="0"/>
          <w:color w:val="auto"/>
          <w:sz w:val="28"/>
          <w:szCs w:val="28"/>
          <w:lang w:val="en-US" w:eastAsia="zh-CN"/>
        </w:rPr>
        <w:t>不立文字，教外别传，付嘱摩诃迦叶。”</w:t>
      </w:r>
    </w:p>
    <w:p w14:paraId="3D180206">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因此</w:t>
      </w:r>
      <w:r>
        <w:rPr>
          <w:rFonts w:hint="eastAsia" w:ascii="方正仿宋_GB2312" w:hAnsi="方正仿宋_GB2312" w:eastAsia="方正仿宋_GB2312" w:cs="方正仿宋_GB2312"/>
          <w:b w:val="0"/>
          <w:bCs w:val="0"/>
          <w:color w:val="auto"/>
          <w:sz w:val="28"/>
          <w:szCs w:val="28"/>
          <w:lang w:val="en-US" w:eastAsia="zh-CN"/>
        </w:rPr>
        <w:t>迦叶尊者</w:t>
      </w:r>
      <w:r>
        <w:rPr>
          <w:rFonts w:hint="default" w:ascii="方正仿宋_GB2312" w:hAnsi="方正仿宋_GB2312" w:eastAsia="方正仿宋_GB2312" w:cs="方正仿宋_GB2312"/>
          <w:b w:val="0"/>
          <w:bCs w:val="0"/>
          <w:color w:val="auto"/>
          <w:sz w:val="28"/>
          <w:szCs w:val="28"/>
          <w:lang w:val="en-US" w:eastAsia="zh-CN"/>
        </w:rPr>
        <w:t>被尊为“禅宗初祖”</w:t>
      </w:r>
    </w:p>
    <w:p w14:paraId="362A946C">
      <w:pPr>
        <w:rPr>
          <w:rFonts w:hint="default" w:ascii="方正仿宋_GB2312" w:hAnsi="方正仿宋_GB2312" w:eastAsia="方正仿宋_GB2312" w:cs="方正仿宋_GB2312"/>
          <w:b w:val="0"/>
          <w:bCs w:val="0"/>
          <w:color w:val="auto"/>
          <w:sz w:val="28"/>
          <w:szCs w:val="28"/>
          <w:lang w:val="en-US" w:eastAsia="zh-CN"/>
        </w:rPr>
      </w:pPr>
    </w:p>
    <w:p w14:paraId="5F029CE0">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玄奘亲历《大唐西域记・卷九》记载：</w:t>
      </w:r>
    </w:p>
    <w:p w14:paraId="0A869475">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如来涅槃前，告迦叶波：「我今将入涅槃，以诸法藏嘱累于汝，姨母所献金缕袈裟，慈氏（弥勒）成佛，留以传付。」</w:t>
      </w:r>
    </w:p>
    <w:p w14:paraId="7508A04F">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迦叶承旨，结集已竟，往鸡足山，捧佛袈裟而立，以愿力故，三峰敛覆。慈氏出世，弹指开峰，迦叶授衣，升空化火焚身而入寂。</w:t>
      </w:r>
    </w:p>
    <w:p w14:paraId="1B19225B">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要点：</w:t>
      </w:r>
    </w:p>
    <w:p w14:paraId="236F7394">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佛付金缕袈裟（姨母所献）</w:t>
      </w:r>
    </w:p>
    <w:p w14:paraId="79D9F387">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迦叶持衣入鸡足山三峰间入定</w:t>
      </w:r>
    </w:p>
    <w:p w14:paraId="1DA61811">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弥勒以弹指开山</w:t>
      </w:r>
    </w:p>
    <w:p w14:paraId="36468B22">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迦叶授衣、礼敬、升空、涅槃</w:t>
      </w:r>
    </w:p>
    <w:p w14:paraId="359263E7">
      <w:pPr>
        <w:rPr>
          <w:rFonts w:hint="eastAsia" w:ascii="方正仿宋_GB2312" w:hAnsi="方正仿宋_GB2312" w:eastAsia="方正仿宋_GB2312" w:cs="方正仿宋_GB2312"/>
          <w:b w:val="0"/>
          <w:bCs w:val="0"/>
          <w:color w:val="auto"/>
          <w:sz w:val="28"/>
          <w:szCs w:val="28"/>
          <w:lang w:val="en-US" w:eastAsia="zh-CN"/>
        </w:rPr>
      </w:pPr>
    </w:p>
    <w:p w14:paraId="15EB09FB">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迦叶尊者在这一世为佛教传于后世做出极大的贡献：</w:t>
      </w:r>
    </w:p>
    <w:p w14:paraId="5A561312">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1、十大弟子苦行第一</w:t>
      </w:r>
    </w:p>
    <w:p w14:paraId="2A33BAEA">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2、禅宗初祖</w:t>
      </w:r>
    </w:p>
    <w:p w14:paraId="07E116A3">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3、主持第一次佛经集结</w:t>
      </w:r>
    </w:p>
    <w:p w14:paraId="20B75807">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4、佛陀命其不可入灭，需等弥勒菩萨成佛时交付袈裟</w:t>
      </w:r>
    </w:p>
    <w:p w14:paraId="4BE09F74">
      <w:pPr>
        <w:rPr>
          <w:rFonts w:hint="eastAsia" w:ascii="Calibri" w:hAnsi="Calibri" w:eastAsia="宋体" w:cs="Times New Roman"/>
          <w:color w:val="00B050"/>
          <w:kern w:val="2"/>
          <w:sz w:val="21"/>
          <w:szCs w:val="24"/>
          <w:lang w:val="en-US" w:eastAsia="zh-CN" w:bidi="ar-SA"/>
        </w:rPr>
      </w:pPr>
    </w:p>
    <w:p w14:paraId="40389D5F">
      <w:pPr>
        <w:rPr>
          <w:rFonts w:hint="eastAsia" w:eastAsia="宋体"/>
          <w:lang w:val="en-US" w:eastAsia="zh-CN"/>
        </w:rPr>
      </w:pPr>
    </w:p>
    <w:p w14:paraId="6C33F8CB">
      <w:pPr>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【阿难，同样，他就是“隐实显权”。本来他已经很清楚，他也是显示——我为了随佛，为佛的侍者，有很多事情要处理，所以才留一点习气，烦恼未除。】</w:t>
      </w:r>
    </w:p>
    <w:p w14:paraId="0602A89D">
      <w:pPr>
        <w:rPr>
          <w:rFonts w:hint="eastAsia" w:ascii="方正仿宋_GB2312" w:hAnsi="方正仿宋_GB2312" w:eastAsia="方正仿宋_GB2312" w:cs="方正仿宋_GB2312"/>
          <w:b/>
          <w:bCs/>
          <w:color w:val="auto"/>
          <w:sz w:val="28"/>
          <w:szCs w:val="28"/>
          <w:lang w:val="en-US" w:eastAsia="zh-CN"/>
        </w:rPr>
      </w:pPr>
    </w:p>
    <w:p w14:paraId="51373D70">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褆解：</w:t>
      </w:r>
    </w:p>
    <w:p w14:paraId="0D32D873">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阿难尊者的这个做法与大乘菩萨“留惑润生”精神是一致的。</w:t>
      </w:r>
    </w:p>
    <w:p w14:paraId="71441078">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什么是“留惑润生”？</w:t>
      </w:r>
    </w:p>
    <w:p w14:paraId="69AA9D19">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留惑：保留（或示现）烦恼未尽</w:t>
      </w:r>
    </w:p>
    <w:p w14:paraId="2C51EB3F">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润生：以此作为“因缘”，继续受生于世间</w:t>
      </w:r>
    </w:p>
    <w:p w14:paraId="0E6934BF">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合起来就是：</w:t>
      </w:r>
    </w:p>
    <w:p w14:paraId="3C9E5087">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为了继续投生度众生，菩萨不急于断尽最后一分生死之因。</w:t>
      </w:r>
    </w:p>
    <w:p w14:paraId="1396A8A8">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菩萨</w:t>
      </w:r>
      <w:r>
        <w:rPr>
          <w:rFonts w:hint="default" w:ascii="方正仿宋_GB2312" w:hAnsi="方正仿宋_GB2312" w:eastAsia="方正仿宋_GB2312" w:cs="方正仿宋_GB2312"/>
          <w:b w:val="0"/>
          <w:bCs w:val="0"/>
          <w:color w:val="auto"/>
          <w:sz w:val="28"/>
          <w:szCs w:val="28"/>
          <w:lang w:val="en-US" w:eastAsia="zh-CN"/>
        </w:rPr>
        <w:t>发了大愿（菩提心）</w:t>
      </w:r>
      <w:r>
        <w:rPr>
          <w:rFonts w:hint="eastAsia" w:ascii="方正仿宋_GB2312" w:hAnsi="方正仿宋_GB2312" w:eastAsia="方正仿宋_GB2312" w:cs="方正仿宋_GB2312"/>
          <w:b w:val="0"/>
          <w:bCs w:val="0"/>
          <w:color w:val="auto"/>
          <w:sz w:val="28"/>
          <w:szCs w:val="28"/>
          <w:lang w:val="en-US" w:eastAsia="zh-CN"/>
        </w:rPr>
        <w:t>的核心精神是</w:t>
      </w:r>
      <w:r>
        <w:rPr>
          <w:rFonts w:hint="default" w:ascii="方正仿宋_GB2312" w:hAnsi="方正仿宋_GB2312" w:eastAsia="方正仿宋_GB2312" w:cs="方正仿宋_GB2312"/>
          <w:b w:val="0"/>
          <w:bCs w:val="0"/>
          <w:color w:val="auto"/>
          <w:sz w:val="28"/>
          <w:szCs w:val="28"/>
          <w:lang w:val="en-US" w:eastAsia="zh-CN"/>
        </w:rPr>
        <w:t>：“众生未度尽，我不成佛”</w:t>
      </w:r>
    </w:p>
    <w:p w14:paraId="4D757DDD">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因此他会选择：</w:t>
      </w:r>
    </w:p>
    <w:p w14:paraId="36C015E0">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不急着“彻底解脱”</w:t>
      </w:r>
      <w:r>
        <w:rPr>
          <w:rFonts w:hint="eastAsia" w:ascii="方正仿宋_GB2312" w:hAnsi="方正仿宋_GB2312" w:eastAsia="方正仿宋_GB2312" w:cs="方正仿宋_GB2312"/>
          <w:b w:val="0"/>
          <w:bCs w:val="0"/>
          <w:color w:val="auto"/>
          <w:sz w:val="28"/>
          <w:szCs w:val="28"/>
          <w:lang w:val="en-US" w:eastAsia="zh-CN"/>
        </w:rPr>
        <w:t>，</w:t>
      </w:r>
      <w:r>
        <w:rPr>
          <w:rFonts w:hint="default" w:ascii="方正仿宋_GB2312" w:hAnsi="方正仿宋_GB2312" w:eastAsia="方正仿宋_GB2312" w:cs="方正仿宋_GB2312"/>
          <w:b w:val="0"/>
          <w:bCs w:val="0"/>
          <w:color w:val="auto"/>
          <w:sz w:val="28"/>
          <w:szCs w:val="28"/>
          <w:lang w:val="en-US" w:eastAsia="zh-CN"/>
        </w:rPr>
        <w:t>而是“留在轮回中工作”</w:t>
      </w:r>
    </w:p>
    <w:p w14:paraId="4A7E9216">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总结一句话</w:t>
      </w:r>
      <w:r>
        <w:rPr>
          <w:rFonts w:hint="eastAsia" w:ascii="方正仿宋_GB2312" w:hAnsi="方正仿宋_GB2312" w:eastAsia="方正仿宋_GB2312" w:cs="方正仿宋_GB2312"/>
          <w:b w:val="0"/>
          <w:bCs w:val="0"/>
          <w:color w:val="auto"/>
          <w:sz w:val="28"/>
          <w:szCs w:val="28"/>
          <w:lang w:val="en-US" w:eastAsia="zh-CN"/>
        </w:rPr>
        <w:t>：</w:t>
      </w:r>
      <w:r>
        <w:rPr>
          <w:rFonts w:hint="default" w:ascii="方正仿宋_GB2312" w:hAnsi="方正仿宋_GB2312" w:eastAsia="方正仿宋_GB2312" w:cs="方正仿宋_GB2312"/>
          <w:b w:val="0"/>
          <w:bCs w:val="0"/>
          <w:color w:val="auto"/>
          <w:sz w:val="28"/>
          <w:szCs w:val="28"/>
          <w:lang w:val="en-US" w:eastAsia="zh-CN"/>
        </w:rPr>
        <w:t>“留惑润生”不是被烦恼束缚，而是菩萨以智慧与愿力，不入涅槃、持续入世度众生的方便示现。</w:t>
      </w:r>
    </w:p>
    <w:p w14:paraId="6536C835">
      <w:pPr>
        <w:rPr>
          <w:rFonts w:hint="eastAsia" w:eastAsia="宋体"/>
          <w:highlight w:val="yellow"/>
          <w:lang w:val="en-US" w:eastAsia="zh-CN"/>
        </w:rPr>
      </w:pPr>
    </w:p>
    <w:p w14:paraId="2D7A21C0">
      <w:pPr>
        <w:rPr>
          <w:rFonts w:hint="eastAsia" w:eastAsia="宋体"/>
          <w:highlight w:val="yellow"/>
          <w:lang w:val="en-US" w:eastAsia="zh-CN"/>
        </w:rPr>
      </w:pPr>
    </w:p>
    <w:p w14:paraId="3D70D722">
      <w:pPr>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w:t>
      </w:r>
      <w:r>
        <w:rPr>
          <w:rFonts w:hint="eastAsia" w:ascii="方正仿宋_GB2312" w:hAnsi="方正仿宋_GB2312" w:eastAsia="方正仿宋_GB2312" w:cs="方正仿宋_GB2312"/>
          <w:b/>
          <w:bCs/>
          <w:color w:val="auto"/>
          <w:sz w:val="28"/>
          <w:szCs w:val="28"/>
          <w:lang w:val="en-US" w:eastAsia="zh-CN"/>
        </w:rPr>
        <w:t>当阿难升座的时候，人人发现了阿难那种庄严的形象，他坐下来的那种庄严威仪。我们都知道，阿难本来就是很庄严了，佛陀三十二相，阿难是三十相，才差佛二相而已。现在他的内心充满了悲智，不只是他的形象庄严，又显出了他那分智慧的光芒，所以身心那分明亮，庄严的形象和佛很接近。让大家看起来，忽然间有一种疑——是不是佛陀再复活了，来为大家说法？</w:t>
      </w:r>
    </w:p>
    <w:p w14:paraId="6EA0502A">
      <w:pPr>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 xml:space="preserve"> 有的人就说：“不是，应该是他方的佛来了。”有的人就说：“不可能，应该是阿难已经成佛了。”这时大家交头接耳，现出了那种人人有疑的形态。</w:t>
      </w:r>
    </w:p>
    <w:p w14:paraId="7E41415A">
      <w:pPr>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那时候阿难他开头，还没叙述佛所说法之前，他就开始唱言：“如是我闻”。“如是我闻”意思就是说，我还是我阿难，不是佛复生，不是佛陀重新现前在这个地方跟大家说话，不是。也不是他方的佛来，一样是我阿难。不是我自己能够说的法，我只是听佛所说的法，所以“如是我闻”，是我阿难所听的。听什么呢？听佛所说的法。</w:t>
      </w:r>
    </w:p>
    <w:p w14:paraId="59A8583E">
      <w:pPr>
        <w:rPr>
          <w:rFonts w:hint="eastAsia" w:eastAsia="宋体"/>
          <w:lang w:val="en-US" w:eastAsia="zh-CN"/>
        </w:rPr>
      </w:pPr>
      <w:r>
        <w:rPr>
          <w:rFonts w:hint="eastAsia" w:ascii="方正仿宋_GB2312" w:hAnsi="方正仿宋_GB2312" w:eastAsia="方正仿宋_GB2312" w:cs="方正仿宋_GB2312"/>
          <w:b/>
          <w:bCs/>
          <w:color w:val="auto"/>
          <w:sz w:val="28"/>
          <w:szCs w:val="28"/>
          <w:lang w:val="en-US" w:eastAsia="zh-CN"/>
        </w:rPr>
        <w:t>所以，有“如是我闻”，这样大家就能断疑，疑问就会断除。</w:t>
      </w:r>
      <w:r>
        <w:rPr>
          <w:rFonts w:hint="eastAsia" w:ascii="方正仿宋_GB2312" w:hAnsi="方正仿宋_GB2312" w:eastAsia="方正仿宋_GB2312" w:cs="方正仿宋_GB2312"/>
          <w:b w:val="0"/>
          <w:bCs w:val="0"/>
          <w:color w:val="auto"/>
          <w:sz w:val="28"/>
          <w:szCs w:val="28"/>
          <w:lang w:val="en-US" w:eastAsia="zh-CN"/>
        </w:rPr>
        <w:t>】</w:t>
      </w:r>
    </w:p>
    <w:p w14:paraId="6252FFFB">
      <w:pPr>
        <w:rPr>
          <w:rFonts w:hint="eastAsia" w:eastAsia="宋体"/>
          <w:color w:val="00B050"/>
          <w:lang w:val="en-US" w:eastAsia="zh-CN"/>
        </w:rPr>
      </w:pPr>
    </w:p>
    <w:p w14:paraId="306FB9C9">
      <w:pPr>
        <w:rPr>
          <w:rFonts w:hint="eastAsia" w:eastAsia="宋体"/>
          <w:color w:val="00B050"/>
          <w:lang w:val="en-US" w:eastAsia="zh-CN"/>
        </w:rPr>
      </w:pPr>
    </w:p>
    <w:p w14:paraId="7A20BE6F">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褆解：</w:t>
      </w:r>
    </w:p>
    <w:p w14:paraId="0D1E204D">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第一次的佛经集结是阿难复述佛陀讲过的所有的经文内容，同时有五百位阿罗汉在现场印证阿难尊者所说的内容跟他们的记忆是一致的，才通过的，所以第一次佛经集结是非常有公信力与可靠性的。</w:t>
      </w:r>
    </w:p>
    <w:p w14:paraId="4BF25925">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这引申出另一个议题，我们知道四阿含经是最原始的佛典，那么四阿含经是不是在第一次集结时形成的？</w:t>
      </w:r>
    </w:p>
    <w:p w14:paraId="7AB0C629">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答案：不是。</w:t>
      </w:r>
    </w:p>
    <w:p w14:paraId="64110C60">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阿难诵出佛陀一生言教（无 “四阿含” 之名）</w:t>
      </w:r>
    </w:p>
    <w:p w14:paraId="3A47F140">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形式：口传、背诵、不分部、无书名，统称 “法”/“修多罗”</w:t>
      </w:r>
    </w:p>
    <w:p w14:paraId="36AF3207">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那么，</w:t>
      </w:r>
      <w:r>
        <w:rPr>
          <w:rFonts w:hint="default" w:ascii="方正仿宋_GB2312" w:hAnsi="方正仿宋_GB2312" w:eastAsia="方正仿宋_GB2312" w:cs="方正仿宋_GB2312"/>
          <w:b w:val="0"/>
          <w:bCs w:val="0"/>
          <w:color w:val="auto"/>
          <w:sz w:val="28"/>
          <w:szCs w:val="28"/>
          <w:lang w:val="en-US" w:eastAsia="zh-CN"/>
        </w:rPr>
        <w:t>“四阿含” 是怎么来的？</w:t>
      </w:r>
    </w:p>
    <w:p w14:paraId="45967A74">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第一次结集只有 “内容”，没有 “四部” 的结构。</w:t>
      </w:r>
    </w:p>
    <w:p w14:paraId="75FE5BA2">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 xml:space="preserve"> 四部分类（长 / 中 / 杂 / 增一） 是：</w:t>
      </w:r>
    </w:p>
    <w:p w14:paraId="62062611">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佛灭百年后（第二次结集前后）</w:t>
      </w:r>
    </w:p>
    <w:p w14:paraId="5A6CF1E6">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部派佛教时期（约公元前 3 世纪，阿育王时代）</w:t>
      </w:r>
    </w:p>
    <w:p w14:paraId="68FEB360">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为了方便背诵、传授、整理，才按篇幅、主题、数字分成四部</w:t>
      </w:r>
      <w:r>
        <w:rPr>
          <w:rFonts w:hint="eastAsia" w:ascii="方正仿宋_GB2312" w:hAnsi="方正仿宋_GB2312" w:eastAsia="方正仿宋_GB2312" w:cs="方正仿宋_GB2312"/>
          <w:b w:val="0"/>
          <w:bCs w:val="0"/>
          <w:color w:val="auto"/>
          <w:sz w:val="28"/>
          <w:szCs w:val="28"/>
          <w:lang w:val="en-US" w:eastAsia="zh-CN"/>
        </w:rPr>
        <w:t>。</w:t>
      </w:r>
    </w:p>
    <w:p w14:paraId="65F1D879">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 xml:space="preserve"> </w:t>
      </w:r>
    </w:p>
    <w:p w14:paraId="634CC5FD">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本褆</w:t>
      </w:r>
    </w:p>
    <w:p w14:paraId="445D1684">
      <w:pPr>
        <w:rPr>
          <w:rFonts w:hint="eastAsia" w:ascii="方正仿宋_GB2312" w:hAnsi="方正仿宋_GB2312" w:eastAsia="方正仿宋_GB2312" w:cs="方正仿宋_GB2312"/>
          <w:b w:val="0"/>
          <w:bCs w:val="0"/>
          <w:color w:val="auto"/>
          <w:sz w:val="28"/>
          <w:szCs w:val="28"/>
          <w:lang w:val="en-US" w:eastAsia="zh-CN"/>
        </w:rPr>
      </w:pPr>
    </w:p>
    <w:p w14:paraId="5EB74DBA">
      <w:pPr>
        <w:rPr>
          <w:rFonts w:hint="default" w:ascii="方正仿宋_GB2312" w:hAnsi="方正仿宋_GB2312" w:eastAsia="方正仿宋_GB2312" w:cs="方正仿宋_GB2312"/>
          <w:b w:val="0"/>
          <w:bCs w:val="0"/>
          <w:color w:val="auto"/>
          <w:sz w:val="28"/>
          <w:szCs w:val="28"/>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2E83D504-F680-4616-B95E-2A8D5A2ABDD5}"/>
  </w:font>
  <w:font w:name="PMingLiU">
    <w:altName w:val="PMingLiU-ExtB"/>
    <w:panose1 w:val="02020500000000000000"/>
    <w:charset w:val="88"/>
    <w:family w:val="roman"/>
    <w:pitch w:val="default"/>
    <w:sig w:usb0="A00002FF" w:usb1="28CFFCFA" w:usb2="00000016" w:usb3="00000000" w:csb0="00100001" w:csb1="00000000"/>
  </w:font>
  <w:font w:name="方正仿宋_GB2312">
    <w:panose1 w:val="02000000000000000000"/>
    <w:charset w:val="86"/>
    <w:family w:val="auto"/>
    <w:pitch w:val="default"/>
    <w:sig w:usb0="A00002BF" w:usb1="184F6CFA" w:usb2="00000012" w:usb3="00000000" w:csb0="00040001" w:csb1="00000000"/>
    <w:embedRegular r:id="rId2" w:fontKey="{9CDDF73A-323A-45D0-A616-5660A28292F9}"/>
  </w:font>
  <w:font w:name="MS PGothic">
    <w:panose1 w:val="020B0600070205080204"/>
    <w:charset w:val="80"/>
    <w:family w:val="auto"/>
    <w:pitch w:val="default"/>
    <w:sig w:usb0="E00002FF" w:usb1="6AC7FDFB" w:usb2="08000012" w:usb3="00000000" w:csb0="4002009F" w:csb1="DFD70000"/>
  </w:font>
  <w:font w:name="PMingLiU-ExtB">
    <w:panose1 w:val="02020500000000000000"/>
    <w:charset w:val="88"/>
    <w:family w:val="auto"/>
    <w:pitch w:val="default"/>
    <w:sig w:usb0="8000002F" w:usb1="02000008" w:usb2="00000000"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2B5E19"/>
    <w:rsid w:val="092B5E19"/>
    <w:rsid w:val="531C61C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PMingLiU"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Style w:val="3"/>
      <w:tblCellMar>
        <w:top w:w="0" w:type="dxa"/>
        <w:left w:w="108" w:type="dxa"/>
        <w:bottom w:w="0" w:type="dxa"/>
        <w:right w:w="108" w:type="dxa"/>
      </w:tblCellMar>
    </w:tblPr>
  </w:style>
  <w:style w:type="paragraph" w:styleId="2">
    <w:name w:val="Normal (Web)"/>
    <w:uiPriority w:val="0"/>
    <w:pPr>
      <w:spacing w:before="100" w:beforeAutospacing="1" w:after="100" w:afterAutospacing="1"/>
      <w:ind w:left="0" w:right="0"/>
      <w:jc w:val="left"/>
    </w:pPr>
    <w:rPr>
      <w:kern w:val="0"/>
      <w:lang w:val="en-US" w:eastAsia="zh-CN" w:bidi="ar"/>
    </w:rPr>
  </w:style>
  <w:style w:type="character" w:styleId="5">
    <w:name w:val="Strong"/>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1886</Words>
  <Characters>1903</Characters>
  <Lines>0</Lines>
  <Paragraphs>0</Paragraphs>
  <TotalTime>25</TotalTime>
  <ScaleCrop>false</ScaleCrop>
  <LinksUpToDate>false</LinksUpToDate>
  <CharactersWithSpaces>1924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2026-04-10T12:27:00Z</dcterms:created>
  <dc:creator>asus</dc:creator>
  <cp:lastModifiedBy>阿蘭若</cp:lastModifiedBy>
  <dcterms:modified xsi:type="dcterms:W3CDTF">2026-04-17T07:27:18Z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2E498B2BCD354FB3B70120B0D462D0D0_13</vt:lpwstr>
  </property>
  <property fmtid="{D5CDD505-2E9C-101B-9397-08002B2CF9AE}" pid="4" name="KSOTemplateDocerSaveRecord">
    <vt:lpwstr>eyJoZGlkIjoiNzYzMzljY2Q4ZTQzNjNmZGNiOGM4MDc2ODRiZTI0ZmEiLCJ1c2VySWQiOiI0MzAyMjg0MDAxNzcifQ==</vt:lpwstr>
  </property>
</Properties>
</file>